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82C" w:rsidRDefault="00910D4B" w:rsidP="00910D4B">
      <w:pPr>
        <w:pStyle w:val="BodyText"/>
        <w:ind w:left="25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800350" cy="721714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 Housing_PM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584" cy="73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CF2" w:rsidRDefault="00D11CF2" w:rsidP="00D11CF2">
      <w:pPr>
        <w:pStyle w:val="Heading1"/>
        <w:spacing w:before="1"/>
        <w:ind w:left="0"/>
        <w:jc w:val="center"/>
        <w:rPr>
          <w:color w:val="548DD4"/>
        </w:rPr>
      </w:pPr>
    </w:p>
    <w:p w:rsidR="0065782C" w:rsidRPr="00D11CF2" w:rsidRDefault="00D11CF2" w:rsidP="00D11CF2">
      <w:pPr>
        <w:pStyle w:val="Heading1"/>
        <w:spacing w:before="1"/>
        <w:ind w:left="0"/>
        <w:jc w:val="center"/>
        <w:rPr>
          <w:color w:val="0063A5"/>
          <w:spacing w:val="-2"/>
          <w:sz w:val="32"/>
          <w:szCs w:val="32"/>
        </w:rPr>
      </w:pPr>
      <w:r w:rsidRPr="00D11CF2">
        <w:rPr>
          <w:color w:val="0063A5"/>
          <w:sz w:val="32"/>
          <w:szCs w:val="32"/>
        </w:rPr>
        <w:t>202</w:t>
      </w:r>
      <w:r w:rsidR="005A2D37">
        <w:rPr>
          <w:color w:val="0063A5"/>
          <w:sz w:val="32"/>
          <w:szCs w:val="32"/>
        </w:rPr>
        <w:t>5</w:t>
      </w:r>
      <w:r w:rsidRPr="00D11CF2">
        <w:rPr>
          <w:color w:val="0063A5"/>
          <w:sz w:val="32"/>
          <w:szCs w:val="32"/>
        </w:rPr>
        <w:t xml:space="preserve"> </w:t>
      </w:r>
      <w:r w:rsidR="005A6134" w:rsidRPr="00D11CF2">
        <w:rPr>
          <w:color w:val="0063A5"/>
          <w:sz w:val="32"/>
          <w:szCs w:val="32"/>
        </w:rPr>
        <w:t>HOME</w:t>
      </w:r>
      <w:r w:rsidR="00A454CA" w:rsidRPr="00D11CF2">
        <w:rPr>
          <w:color w:val="0063A5"/>
          <w:sz w:val="32"/>
          <w:szCs w:val="32"/>
        </w:rPr>
        <w:t xml:space="preserve"> and HTF</w:t>
      </w:r>
      <w:r w:rsidR="005A6134" w:rsidRPr="00D11CF2">
        <w:rPr>
          <w:color w:val="0063A5"/>
          <w:spacing w:val="-9"/>
          <w:sz w:val="32"/>
          <w:szCs w:val="32"/>
        </w:rPr>
        <w:t xml:space="preserve"> </w:t>
      </w:r>
      <w:r w:rsidR="005A6134" w:rsidRPr="00D11CF2">
        <w:rPr>
          <w:color w:val="0063A5"/>
          <w:sz w:val="32"/>
          <w:szCs w:val="32"/>
        </w:rPr>
        <w:t>Annual</w:t>
      </w:r>
      <w:r w:rsidR="005A6134" w:rsidRPr="00D11CF2">
        <w:rPr>
          <w:color w:val="0063A5"/>
          <w:spacing w:val="-5"/>
          <w:sz w:val="32"/>
          <w:szCs w:val="32"/>
        </w:rPr>
        <w:t xml:space="preserve"> </w:t>
      </w:r>
      <w:r w:rsidR="005A6134" w:rsidRPr="00D11CF2">
        <w:rPr>
          <w:color w:val="0063A5"/>
          <w:sz w:val="32"/>
          <w:szCs w:val="32"/>
        </w:rPr>
        <w:t>Rent</w:t>
      </w:r>
      <w:r w:rsidR="005A6134" w:rsidRPr="00D11CF2">
        <w:rPr>
          <w:color w:val="0063A5"/>
          <w:spacing w:val="-5"/>
          <w:sz w:val="32"/>
          <w:szCs w:val="32"/>
        </w:rPr>
        <w:t xml:space="preserve"> </w:t>
      </w:r>
      <w:r w:rsidR="005A6134" w:rsidRPr="00D11CF2">
        <w:rPr>
          <w:color w:val="0063A5"/>
          <w:sz w:val="32"/>
          <w:szCs w:val="32"/>
        </w:rPr>
        <w:t>Approval</w:t>
      </w:r>
      <w:r w:rsidR="005A6134" w:rsidRPr="00D11CF2">
        <w:rPr>
          <w:color w:val="0063A5"/>
          <w:spacing w:val="-5"/>
          <w:sz w:val="32"/>
          <w:szCs w:val="32"/>
        </w:rPr>
        <w:t xml:space="preserve"> </w:t>
      </w:r>
      <w:r w:rsidR="005A6134" w:rsidRPr="00D11CF2">
        <w:rPr>
          <w:color w:val="0063A5"/>
          <w:spacing w:val="-2"/>
          <w:sz w:val="32"/>
          <w:szCs w:val="32"/>
        </w:rPr>
        <w:t>Requirements</w:t>
      </w:r>
    </w:p>
    <w:p w:rsidR="00D11CF2" w:rsidRDefault="00D11CF2" w:rsidP="00D11CF2">
      <w:pPr>
        <w:pStyle w:val="Heading1"/>
        <w:spacing w:before="1"/>
        <w:ind w:left="0"/>
        <w:jc w:val="center"/>
      </w:pPr>
    </w:p>
    <w:p w:rsidR="0065782C" w:rsidRDefault="005A6134" w:rsidP="00C35E19">
      <w:pPr>
        <w:pStyle w:val="BodyText"/>
        <w:ind w:right="165"/>
      </w:pPr>
      <w:r>
        <w:t>HUD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released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202</w:t>
      </w:r>
      <w:r w:rsidR="005A2D37">
        <w:t>5</w:t>
      </w:r>
      <w:r>
        <w:rPr>
          <w:spacing w:val="-1"/>
        </w:rPr>
        <w:t xml:space="preserve"> </w:t>
      </w:r>
      <w:r>
        <w:t>HOME</w:t>
      </w:r>
      <w:r>
        <w:rPr>
          <w:spacing w:val="-1"/>
        </w:rPr>
        <w:t xml:space="preserve"> </w:t>
      </w:r>
      <w:r w:rsidR="00A454CA">
        <w:t xml:space="preserve">and </w:t>
      </w:r>
      <w:r w:rsidR="002C47FC">
        <w:t>Housing Trust Fund (</w:t>
      </w:r>
      <w:r w:rsidR="00A454CA">
        <w:t>HTF</w:t>
      </w:r>
      <w:r w:rsidR="002C47FC">
        <w:t>)</w:t>
      </w:r>
      <w:r w:rsidR="00A454CA">
        <w:t xml:space="preserve"> Income and Gross Rent Limits</w:t>
      </w:r>
      <w:r w:rsidR="00AC36C0">
        <w:t xml:space="preserve"> with the effective date </w:t>
      </w:r>
      <w:r w:rsidR="006E2EEE">
        <w:t>as</w:t>
      </w:r>
      <w:r w:rsidR="00AC36C0">
        <w:t xml:space="preserve"> </w:t>
      </w:r>
      <w:r w:rsidR="00AC36C0" w:rsidRPr="00AC36C0">
        <w:rPr>
          <w:b/>
        </w:rPr>
        <w:t>June 1, 202</w:t>
      </w:r>
      <w:r w:rsidR="009733B9">
        <w:rPr>
          <w:b/>
        </w:rPr>
        <w:t>5</w:t>
      </w:r>
      <w:r w:rsidR="00AC36C0">
        <w:t>.</w:t>
      </w:r>
      <w:r w:rsidR="00A454CA">
        <w:t xml:space="preserve"> </w:t>
      </w:r>
      <w:r>
        <w:t>As a</w:t>
      </w:r>
      <w:r>
        <w:rPr>
          <w:spacing w:val="-1"/>
        </w:rPr>
        <w:t xml:space="preserve"> </w:t>
      </w:r>
      <w:r>
        <w:t>reminder,</w:t>
      </w:r>
      <w:r>
        <w:rPr>
          <w:spacing w:val="-4"/>
        </w:rPr>
        <w:t xml:space="preserve"> </w:t>
      </w:r>
      <w:r>
        <w:t>Participating</w:t>
      </w:r>
      <w:r>
        <w:rPr>
          <w:spacing w:val="-3"/>
        </w:rPr>
        <w:t xml:space="preserve"> </w:t>
      </w:r>
      <w:r>
        <w:t>Jurisdictions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2013</w:t>
      </w:r>
      <w:r w:rsidR="00AD0A0B">
        <w:t xml:space="preserve"> </w:t>
      </w:r>
      <w:r w:rsidR="00414291">
        <w:t xml:space="preserve">HOME Final Rule </w:t>
      </w:r>
      <w:r w:rsidR="00AD0A0B">
        <w:t xml:space="preserve">and </w:t>
      </w:r>
      <w:r w:rsidR="00414291">
        <w:t xml:space="preserve">the newly published </w:t>
      </w:r>
      <w:r w:rsidR="00AD0A0B">
        <w:t>2025</w:t>
      </w:r>
      <w:r>
        <w:rPr>
          <w:spacing w:val="-6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Rule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review and</w:t>
      </w:r>
      <w:r>
        <w:rPr>
          <w:spacing w:val="-3"/>
        </w:rPr>
        <w:t xml:space="preserve"> </w:t>
      </w:r>
      <w:r>
        <w:t>approve</w:t>
      </w:r>
      <w:r>
        <w:rPr>
          <w:spacing w:val="-1"/>
        </w:rPr>
        <w:t xml:space="preserve"> </w:t>
      </w:r>
      <w:r>
        <w:t>rents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HOME</w:t>
      </w:r>
      <w:r>
        <w:rPr>
          <w:spacing w:val="-5"/>
        </w:rPr>
        <w:t xml:space="preserve"> </w:t>
      </w:r>
      <w:r>
        <w:t>financed</w:t>
      </w:r>
      <w:r>
        <w:rPr>
          <w:spacing w:val="-4"/>
        </w:rPr>
        <w:t xml:space="preserve"> </w:t>
      </w:r>
      <w:r>
        <w:t>units</w:t>
      </w:r>
      <w:r>
        <w:rPr>
          <w:spacing w:val="-3"/>
        </w:rPr>
        <w:t xml:space="preserve"> </w:t>
      </w:r>
      <w:r>
        <w:t>annually</w:t>
      </w:r>
      <w:r>
        <w:rPr>
          <w:spacing w:val="-5"/>
        </w:rPr>
        <w:t xml:space="preserve"> </w:t>
      </w:r>
      <w:r>
        <w:t>throughout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affordability</w:t>
      </w:r>
      <w:r>
        <w:rPr>
          <w:spacing w:val="-5"/>
        </w:rPr>
        <w:t xml:space="preserve"> </w:t>
      </w:r>
      <w:r>
        <w:t>period.</w:t>
      </w:r>
      <w:r>
        <w:rPr>
          <w:spacing w:val="40"/>
        </w:rPr>
        <w:t xml:space="preserve"> </w:t>
      </w:r>
      <w:r w:rsidR="00E82FFF" w:rsidRPr="00E82FFF">
        <w:t>The Housing Trust Fund (HTF) Interim rule requires Grantee’s to review and approve rents annually for multi-family HTF assisted properties during their affordability period.</w:t>
      </w:r>
      <w:r w:rsidR="00E82FFF" w:rsidRPr="00E82FFF">
        <w:rPr>
          <w:spacing w:val="40"/>
        </w:rPr>
        <w:t xml:space="preserve"> </w:t>
      </w:r>
      <w:r w:rsidRPr="00E82FFF">
        <w:t>To comply with th</w:t>
      </w:r>
      <w:r w:rsidR="00E82FFF" w:rsidRPr="00E82FFF">
        <w:t>ese</w:t>
      </w:r>
      <w:r w:rsidRPr="00E82FFF">
        <w:t xml:space="preserve"> requirement</w:t>
      </w:r>
      <w:r w:rsidR="00E82FFF" w:rsidRPr="00E82FFF">
        <w:t>s</w:t>
      </w:r>
      <w:r>
        <w:t xml:space="preserve"> and/or to avoid prohibition from future participation in all SC Housing programs, the following </w:t>
      </w:r>
      <w:r w:rsidR="005D13EE">
        <w:t>five (5)</w:t>
      </w:r>
      <w:r>
        <w:t xml:space="preserve"> documents must be submitted:</w:t>
      </w:r>
    </w:p>
    <w:p w:rsidR="0065782C" w:rsidRDefault="0065782C">
      <w:pPr>
        <w:pStyle w:val="BodyText"/>
        <w:spacing w:before="11"/>
        <w:rPr>
          <w:sz w:val="23"/>
        </w:rPr>
      </w:pPr>
    </w:p>
    <w:p w:rsidR="0065782C" w:rsidRDefault="005A6134" w:rsidP="00756C45">
      <w:pPr>
        <w:pStyle w:val="ListParagraph"/>
        <w:numPr>
          <w:ilvl w:val="0"/>
          <w:numId w:val="1"/>
        </w:numPr>
        <w:tabs>
          <w:tab w:val="left" w:pos="630"/>
        </w:tabs>
        <w:ind w:hanging="570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completed</w:t>
      </w:r>
      <w:r w:rsidR="00484270">
        <w:rPr>
          <w:sz w:val="24"/>
        </w:rPr>
        <w:t xml:space="preserve"> </w:t>
      </w:r>
      <w:hyperlink r:id="rId6" w:history="1">
        <w:r w:rsidR="00040534" w:rsidRPr="00040534">
          <w:rPr>
            <w:rStyle w:val="Hyperlink"/>
            <w:spacing w:val="-2"/>
            <w:sz w:val="24"/>
          </w:rPr>
          <w:t>HOME/SCHTF/NHTF Rent Approval Worksheet</w:t>
        </w:r>
      </w:hyperlink>
      <w:r w:rsidR="00040534">
        <w:rPr>
          <w:spacing w:val="-2"/>
          <w:sz w:val="24"/>
        </w:rPr>
        <w:t>;</w:t>
      </w:r>
    </w:p>
    <w:p w:rsidR="0065782C" w:rsidRDefault="005A6134" w:rsidP="00756C45">
      <w:pPr>
        <w:pStyle w:val="ListParagraph"/>
        <w:numPr>
          <w:ilvl w:val="0"/>
          <w:numId w:val="1"/>
        </w:numPr>
        <w:tabs>
          <w:tab w:val="left" w:pos="630"/>
        </w:tabs>
        <w:ind w:left="839" w:right="377" w:hanging="570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copy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hyperlink r:id="rId7" w:history="1">
        <w:r w:rsidRPr="00052348">
          <w:rPr>
            <w:rStyle w:val="Hyperlink"/>
            <w:sz w:val="24"/>
          </w:rPr>
          <w:t>HUD</w:t>
        </w:r>
        <w:r w:rsidRPr="00052348">
          <w:rPr>
            <w:rStyle w:val="Hyperlink"/>
            <w:spacing w:val="-2"/>
            <w:sz w:val="24"/>
          </w:rPr>
          <w:t xml:space="preserve"> </w:t>
        </w:r>
        <w:r w:rsidRPr="00052348">
          <w:rPr>
            <w:rStyle w:val="Hyperlink"/>
            <w:sz w:val="24"/>
          </w:rPr>
          <w:t>HOME</w:t>
        </w:r>
        <w:r w:rsidR="002C47FC" w:rsidRPr="00052348">
          <w:rPr>
            <w:rStyle w:val="Hyperlink"/>
            <w:sz w:val="24"/>
          </w:rPr>
          <w:t xml:space="preserve"> or HTF</w:t>
        </w:r>
        <w:r w:rsidRPr="00052348">
          <w:rPr>
            <w:rStyle w:val="Hyperlink"/>
            <w:spacing w:val="-2"/>
            <w:sz w:val="24"/>
          </w:rPr>
          <w:t xml:space="preserve"> </w:t>
        </w:r>
        <w:r w:rsidRPr="00052348">
          <w:rPr>
            <w:rStyle w:val="Hyperlink"/>
            <w:sz w:val="24"/>
          </w:rPr>
          <w:t>Rent</w:t>
        </w:r>
        <w:r w:rsidRPr="00052348">
          <w:rPr>
            <w:rStyle w:val="Hyperlink"/>
            <w:spacing w:val="-4"/>
            <w:sz w:val="24"/>
          </w:rPr>
          <w:t xml:space="preserve"> </w:t>
        </w:r>
        <w:r w:rsidRPr="00052348">
          <w:rPr>
            <w:rStyle w:val="Hyperlink"/>
            <w:sz w:val="24"/>
          </w:rPr>
          <w:t>Limits</w:t>
        </w:r>
      </w:hyperlink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utilized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property</w:t>
      </w:r>
      <w:r>
        <w:rPr>
          <w:spacing w:val="-7"/>
          <w:sz w:val="24"/>
        </w:rPr>
        <w:t xml:space="preserve"> </w:t>
      </w:r>
      <w:r>
        <w:rPr>
          <w:sz w:val="24"/>
        </w:rPr>
        <w:t>over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next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twelve </w:t>
      </w:r>
      <w:r w:rsidR="00427319">
        <w:rPr>
          <w:sz w:val="24"/>
        </w:rPr>
        <w:t xml:space="preserve">(12) </w:t>
      </w:r>
      <w:r>
        <w:rPr>
          <w:sz w:val="24"/>
        </w:rPr>
        <w:t>month period</w:t>
      </w:r>
      <w:bookmarkStart w:id="0" w:name="_GoBack"/>
      <w:bookmarkEnd w:id="0"/>
    </w:p>
    <w:p w:rsidR="0065782C" w:rsidRDefault="00207B46" w:rsidP="00756C45">
      <w:pPr>
        <w:pStyle w:val="ListParagraph"/>
        <w:numPr>
          <w:ilvl w:val="0"/>
          <w:numId w:val="1"/>
        </w:numPr>
        <w:tabs>
          <w:tab w:val="left" w:pos="630"/>
        </w:tabs>
        <w:ind w:right="417" w:hanging="570"/>
        <w:rPr>
          <w:sz w:val="24"/>
        </w:rPr>
      </w:pPr>
      <w:r>
        <w:rPr>
          <w:sz w:val="24"/>
          <w:szCs w:val="24"/>
        </w:rPr>
        <w:t xml:space="preserve">A copy of </w:t>
      </w:r>
      <w:r w:rsidRPr="00207B46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hyperlink r:id="rId8" w:history="1">
        <w:r w:rsidRPr="00BF18FA">
          <w:rPr>
            <w:rStyle w:val="Hyperlink"/>
            <w:sz w:val="24"/>
            <w:szCs w:val="24"/>
          </w:rPr>
          <w:t>Statewide HUD Utility Schedule Model</w:t>
        </w:r>
      </w:hyperlink>
      <w:r w:rsidR="00BF18FA">
        <w:rPr>
          <w:sz w:val="24"/>
          <w:szCs w:val="24"/>
        </w:rPr>
        <w:t xml:space="preserve">, </w:t>
      </w:r>
      <w:r w:rsidRPr="00207B46">
        <w:rPr>
          <w:sz w:val="24"/>
          <w:szCs w:val="24"/>
        </w:rPr>
        <w:t xml:space="preserve">the utility allowance established by the applicable local public housing authority, or </w:t>
      </w:r>
      <w:r w:rsidR="005A6134">
        <w:rPr>
          <w:sz w:val="24"/>
        </w:rPr>
        <w:t>approved Project Specific Utility Survey</w:t>
      </w:r>
      <w:r>
        <w:rPr>
          <w:sz w:val="24"/>
        </w:rPr>
        <w:t xml:space="preserve"> </w:t>
      </w:r>
      <w:r w:rsidR="005A6134">
        <w:rPr>
          <w:sz w:val="24"/>
        </w:rPr>
        <w:t xml:space="preserve">for each applicable bedroom type. The total monthly cost of the utility allowance must be calculated on the </w:t>
      </w:r>
      <w:r>
        <w:rPr>
          <w:sz w:val="24"/>
        </w:rPr>
        <w:t xml:space="preserve">applicable </w:t>
      </w:r>
      <w:r w:rsidR="005A6134">
        <w:rPr>
          <w:sz w:val="24"/>
        </w:rPr>
        <w:t xml:space="preserve">utility </w:t>
      </w:r>
      <w:r>
        <w:rPr>
          <w:sz w:val="24"/>
        </w:rPr>
        <w:t>allowance</w:t>
      </w:r>
      <w:r w:rsidR="005A6134">
        <w:rPr>
          <w:sz w:val="24"/>
        </w:rPr>
        <w:t xml:space="preserve"> document provided to SC Housing.</w:t>
      </w:r>
      <w:r w:rsidR="005A6134">
        <w:rPr>
          <w:spacing w:val="-2"/>
          <w:sz w:val="24"/>
        </w:rPr>
        <w:t xml:space="preserve"> </w:t>
      </w:r>
      <w:r w:rsidR="005A6134">
        <w:rPr>
          <w:color w:val="FF0000"/>
          <w:sz w:val="24"/>
          <w:u w:val="single" w:color="FF0000"/>
        </w:rPr>
        <w:t>Circle</w:t>
      </w:r>
      <w:r w:rsidR="005A6134">
        <w:rPr>
          <w:color w:val="FF0000"/>
          <w:spacing w:val="-2"/>
          <w:sz w:val="24"/>
          <w:u w:val="single" w:color="FF0000"/>
        </w:rPr>
        <w:t xml:space="preserve"> </w:t>
      </w:r>
      <w:r w:rsidR="005A6134">
        <w:rPr>
          <w:color w:val="FF0000"/>
          <w:sz w:val="24"/>
          <w:u w:val="single" w:color="FF0000"/>
        </w:rPr>
        <w:t>or</w:t>
      </w:r>
      <w:r w:rsidR="005A6134">
        <w:rPr>
          <w:color w:val="FF0000"/>
          <w:spacing w:val="-4"/>
          <w:sz w:val="24"/>
          <w:u w:val="single" w:color="FF0000"/>
        </w:rPr>
        <w:t xml:space="preserve"> </w:t>
      </w:r>
      <w:r w:rsidR="005A6134">
        <w:rPr>
          <w:color w:val="FF0000"/>
          <w:sz w:val="24"/>
          <w:u w:val="single" w:color="FF0000"/>
        </w:rPr>
        <w:t>clearly</w:t>
      </w:r>
      <w:r w:rsidR="005A6134">
        <w:rPr>
          <w:color w:val="FF0000"/>
          <w:spacing w:val="-5"/>
          <w:sz w:val="24"/>
          <w:u w:val="single" w:color="FF0000"/>
        </w:rPr>
        <w:t xml:space="preserve"> </w:t>
      </w:r>
      <w:r w:rsidR="005A6134">
        <w:rPr>
          <w:color w:val="FF0000"/>
          <w:sz w:val="24"/>
          <w:u w:val="single" w:color="FF0000"/>
        </w:rPr>
        <w:t>specify</w:t>
      </w:r>
      <w:r w:rsidR="005A6134">
        <w:rPr>
          <w:color w:val="FF0000"/>
          <w:spacing w:val="-5"/>
          <w:sz w:val="24"/>
          <w:u w:val="single" w:color="FF0000"/>
        </w:rPr>
        <w:t xml:space="preserve"> </w:t>
      </w:r>
      <w:r w:rsidR="005A6134">
        <w:rPr>
          <w:color w:val="FF0000"/>
          <w:sz w:val="24"/>
          <w:u w:val="single" w:color="FF0000"/>
        </w:rPr>
        <w:t>the</w:t>
      </w:r>
      <w:r w:rsidR="005A6134">
        <w:rPr>
          <w:color w:val="FF0000"/>
          <w:spacing w:val="-2"/>
          <w:sz w:val="24"/>
          <w:u w:val="single" w:color="FF0000"/>
        </w:rPr>
        <w:t xml:space="preserve"> </w:t>
      </w:r>
      <w:r w:rsidR="005A6134">
        <w:rPr>
          <w:color w:val="FF0000"/>
          <w:sz w:val="24"/>
          <w:u w:val="single" w:color="FF0000"/>
        </w:rPr>
        <w:t>amount</w:t>
      </w:r>
      <w:r w:rsidR="005A6134">
        <w:rPr>
          <w:color w:val="FF0000"/>
          <w:spacing w:val="-5"/>
          <w:sz w:val="24"/>
          <w:u w:val="single" w:color="FF0000"/>
        </w:rPr>
        <w:t xml:space="preserve"> </w:t>
      </w:r>
      <w:r w:rsidR="005A6134">
        <w:rPr>
          <w:color w:val="FF0000"/>
          <w:sz w:val="24"/>
          <w:u w:val="single" w:color="FF0000"/>
        </w:rPr>
        <w:t>of each</w:t>
      </w:r>
      <w:r w:rsidR="005A6134">
        <w:rPr>
          <w:color w:val="FF0000"/>
          <w:spacing w:val="-4"/>
          <w:sz w:val="24"/>
          <w:u w:val="single" w:color="FF0000"/>
        </w:rPr>
        <w:t xml:space="preserve"> </w:t>
      </w:r>
      <w:r w:rsidR="005A6134">
        <w:rPr>
          <w:color w:val="FF0000"/>
          <w:sz w:val="24"/>
          <w:u w:val="single" w:color="FF0000"/>
        </w:rPr>
        <w:t>allowance</w:t>
      </w:r>
      <w:r w:rsidR="005A6134">
        <w:rPr>
          <w:color w:val="FF0000"/>
          <w:spacing w:val="-2"/>
          <w:sz w:val="24"/>
          <w:u w:val="single" w:color="FF0000"/>
        </w:rPr>
        <w:t xml:space="preserve"> </w:t>
      </w:r>
      <w:r w:rsidR="005A6134">
        <w:rPr>
          <w:color w:val="FF0000"/>
          <w:sz w:val="24"/>
          <w:u w:val="single" w:color="FF0000"/>
        </w:rPr>
        <w:t>included</w:t>
      </w:r>
      <w:r w:rsidR="005A6134">
        <w:rPr>
          <w:color w:val="FF0000"/>
          <w:spacing w:val="-2"/>
          <w:sz w:val="24"/>
          <w:u w:val="single" w:color="FF0000"/>
        </w:rPr>
        <w:t xml:space="preserve"> </w:t>
      </w:r>
      <w:r w:rsidR="005A6134">
        <w:rPr>
          <w:color w:val="FF0000"/>
          <w:sz w:val="24"/>
          <w:u w:val="single" w:color="FF0000"/>
        </w:rPr>
        <w:t>in</w:t>
      </w:r>
      <w:r w:rsidR="005A6134">
        <w:rPr>
          <w:color w:val="FF0000"/>
          <w:spacing w:val="-2"/>
          <w:sz w:val="24"/>
          <w:u w:val="single" w:color="FF0000"/>
        </w:rPr>
        <w:t xml:space="preserve"> </w:t>
      </w:r>
      <w:r w:rsidR="005A6134">
        <w:rPr>
          <w:color w:val="FF0000"/>
          <w:sz w:val="24"/>
          <w:u w:val="single" w:color="FF0000"/>
        </w:rPr>
        <w:t>each</w:t>
      </w:r>
      <w:r w:rsidR="005A6134">
        <w:rPr>
          <w:color w:val="FF0000"/>
          <w:spacing w:val="-4"/>
          <w:sz w:val="24"/>
          <w:u w:val="single" w:color="FF0000"/>
        </w:rPr>
        <w:t xml:space="preserve"> </w:t>
      </w:r>
      <w:r w:rsidR="005A6134">
        <w:rPr>
          <w:color w:val="FF0000"/>
          <w:sz w:val="24"/>
          <w:u w:val="single" w:color="FF0000"/>
        </w:rPr>
        <w:t>total</w:t>
      </w:r>
      <w:r w:rsidR="005A6134">
        <w:rPr>
          <w:color w:val="FF0000"/>
          <w:sz w:val="24"/>
        </w:rPr>
        <w:t xml:space="preserve"> </w:t>
      </w:r>
      <w:r w:rsidR="005A6134">
        <w:rPr>
          <w:color w:val="FF0000"/>
          <w:sz w:val="24"/>
          <w:u w:val="single" w:color="FF0000"/>
        </w:rPr>
        <w:t>utility calculation. Remember to include base charges, if applicable</w:t>
      </w:r>
      <w:r w:rsidR="00A80EA4">
        <w:rPr>
          <w:sz w:val="24"/>
        </w:rPr>
        <w:t xml:space="preserve">. See note about PHA utility allowances </w:t>
      </w:r>
      <w:r w:rsidR="004673E1">
        <w:rPr>
          <w:sz w:val="24"/>
        </w:rPr>
        <w:t xml:space="preserve">and Green Discount/Energy Star </w:t>
      </w:r>
      <w:r w:rsidR="00A80EA4">
        <w:rPr>
          <w:sz w:val="24"/>
        </w:rPr>
        <w:t>if using</w:t>
      </w:r>
      <w:r w:rsidR="00A227C9">
        <w:rPr>
          <w:sz w:val="24"/>
        </w:rPr>
        <w:t>.</w:t>
      </w:r>
    </w:p>
    <w:p w:rsidR="0005510C" w:rsidRDefault="005A6134" w:rsidP="0005510C">
      <w:pPr>
        <w:pStyle w:val="ListParagraph"/>
        <w:numPr>
          <w:ilvl w:val="0"/>
          <w:numId w:val="1"/>
        </w:numPr>
        <w:tabs>
          <w:tab w:val="left" w:pos="630"/>
        </w:tabs>
        <w:ind w:hanging="57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copy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current</w:t>
      </w:r>
      <w:r w:rsidR="00427319">
        <w:rPr>
          <w:sz w:val="24"/>
        </w:rPr>
        <w:t xml:space="preserve"> </w:t>
      </w:r>
      <w:hyperlink r:id="rId9" w:history="1">
        <w:r w:rsidR="00040534" w:rsidRPr="00040534">
          <w:rPr>
            <w:rStyle w:val="Hyperlink"/>
            <w:sz w:val="24"/>
          </w:rPr>
          <w:t>M-51 HOME Unit Status Compliance Report</w:t>
        </w:r>
      </w:hyperlink>
      <w:r w:rsidR="00040534">
        <w:rPr>
          <w:sz w:val="24"/>
        </w:rPr>
        <w:t xml:space="preserve"> </w:t>
      </w:r>
      <w:r w:rsidR="00A454CA">
        <w:rPr>
          <w:sz w:val="24"/>
        </w:rPr>
        <w:t xml:space="preserve">for HOME units, or </w:t>
      </w:r>
      <w:hyperlink r:id="rId10" w:history="1">
        <w:r w:rsidR="00040534" w:rsidRPr="00040534">
          <w:rPr>
            <w:rStyle w:val="Hyperlink"/>
            <w:sz w:val="24"/>
          </w:rPr>
          <w:t xml:space="preserve">SRDP-21 </w:t>
        </w:r>
        <w:r w:rsidR="00556AEE">
          <w:rPr>
            <w:rStyle w:val="Hyperlink"/>
            <w:sz w:val="24"/>
          </w:rPr>
          <w:t xml:space="preserve">SRDP </w:t>
        </w:r>
        <w:r w:rsidR="00040534" w:rsidRPr="00040534">
          <w:rPr>
            <w:rStyle w:val="Hyperlink"/>
            <w:sz w:val="24"/>
          </w:rPr>
          <w:t>Unit Status Compliance Report</w:t>
        </w:r>
      </w:hyperlink>
      <w:r w:rsidR="00040534">
        <w:rPr>
          <w:sz w:val="24"/>
        </w:rPr>
        <w:t xml:space="preserve"> </w:t>
      </w:r>
      <w:r w:rsidR="00A454CA">
        <w:rPr>
          <w:sz w:val="24"/>
        </w:rPr>
        <w:t xml:space="preserve">for HTF </w:t>
      </w:r>
      <w:r w:rsidR="002C47FC">
        <w:rPr>
          <w:sz w:val="24"/>
        </w:rPr>
        <w:t>units</w:t>
      </w:r>
    </w:p>
    <w:p w:rsidR="0005510C" w:rsidRPr="0005510C" w:rsidRDefault="0005510C" w:rsidP="0005510C">
      <w:pPr>
        <w:pStyle w:val="ListParagraph"/>
        <w:numPr>
          <w:ilvl w:val="0"/>
          <w:numId w:val="1"/>
        </w:numPr>
        <w:tabs>
          <w:tab w:val="left" w:pos="630"/>
        </w:tabs>
        <w:ind w:hanging="570"/>
        <w:rPr>
          <w:sz w:val="24"/>
        </w:rPr>
      </w:pPr>
      <w:r>
        <w:rPr>
          <w:sz w:val="24"/>
        </w:rPr>
        <w:t>A copy of the current Certificate of Property Insurance</w:t>
      </w:r>
    </w:p>
    <w:p w:rsidR="00726186" w:rsidRDefault="00726186">
      <w:pPr>
        <w:pStyle w:val="BodyText"/>
        <w:spacing w:before="75"/>
        <w:ind w:left="120" w:right="231"/>
      </w:pPr>
    </w:p>
    <w:p w:rsidR="0065782C" w:rsidRDefault="005A6134" w:rsidP="00C35E19">
      <w:pPr>
        <w:pStyle w:val="BodyText"/>
        <w:spacing w:before="75"/>
        <w:ind w:right="231"/>
      </w:pPr>
      <w:r>
        <w:t>Owners/Management agents must submit the documents listed above for each individual property</w:t>
      </w:r>
      <w:r>
        <w:rPr>
          <w:spacing w:val="-5"/>
        </w:rPr>
        <w:t xml:space="preserve"> </w:t>
      </w:r>
      <w:r>
        <w:t>named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9946D2">
        <w:t>HOME</w:t>
      </w:r>
      <w:r w:rsidR="00BF18FA">
        <w:t>/</w:t>
      </w:r>
      <w:r w:rsidR="009946D2">
        <w:t>SCHTF</w:t>
      </w:r>
      <w:r w:rsidR="00BF18FA">
        <w:t>/</w:t>
      </w:r>
      <w:r w:rsidR="009946D2">
        <w:t>NHTF Rent Approval Worksheet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later</w:t>
      </w:r>
      <w:r>
        <w:rPr>
          <w:spacing w:val="-4"/>
        </w:rPr>
        <w:t xml:space="preserve"> </w:t>
      </w:r>
      <w:r>
        <w:t>than</w:t>
      </w:r>
      <w:r>
        <w:rPr>
          <w:spacing w:val="-2"/>
        </w:rPr>
        <w:t xml:space="preserve"> </w:t>
      </w:r>
      <w:r w:rsidR="0021450C">
        <w:rPr>
          <w:color w:val="000000"/>
          <w:shd w:val="clear" w:color="auto" w:fill="FFFF00"/>
        </w:rPr>
        <w:t>45</w:t>
      </w:r>
      <w:r w:rsidR="006806A2">
        <w:rPr>
          <w:color w:val="000000"/>
          <w:shd w:val="clear" w:color="auto" w:fill="FFFF00"/>
        </w:rPr>
        <w:t xml:space="preserve"> calendar</w:t>
      </w:r>
      <w:r w:rsidR="0021450C">
        <w:rPr>
          <w:color w:val="000000"/>
          <w:shd w:val="clear" w:color="auto" w:fill="FFFF00"/>
        </w:rPr>
        <w:t xml:space="preserve"> days after the publication of the 202</w:t>
      </w:r>
      <w:r w:rsidR="005A2D37">
        <w:rPr>
          <w:color w:val="000000"/>
          <w:shd w:val="clear" w:color="auto" w:fill="FFFF00"/>
        </w:rPr>
        <w:t>5</w:t>
      </w:r>
      <w:r w:rsidR="0021450C">
        <w:rPr>
          <w:color w:val="000000"/>
          <w:shd w:val="clear" w:color="auto" w:fill="FFFF00"/>
        </w:rPr>
        <w:t xml:space="preserve"> rent limits</w:t>
      </w:r>
      <w:r>
        <w:rPr>
          <w:color w:val="000000"/>
        </w:rPr>
        <w:t xml:space="preserve"> to allow Authority staff sufficient time to review each development</w:t>
      </w:r>
      <w:r w:rsidR="00187EBB">
        <w:rPr>
          <w:color w:val="000000"/>
        </w:rPr>
        <w:t>’s</w:t>
      </w:r>
      <w:r>
        <w:rPr>
          <w:color w:val="000000"/>
        </w:rPr>
        <w:t xml:space="preserve"> proposed HOME rents.</w:t>
      </w:r>
      <w:r w:rsidR="009946D2">
        <w:rPr>
          <w:color w:val="000000"/>
        </w:rPr>
        <w:t xml:space="preserve"> </w:t>
      </w:r>
      <w:r w:rsidR="009946D2" w:rsidRPr="000C557F">
        <w:rPr>
          <w:b/>
          <w:color w:val="000000"/>
          <w:u w:val="single"/>
        </w:rPr>
        <w:t xml:space="preserve">Any </w:t>
      </w:r>
      <w:r w:rsidR="00A3322E" w:rsidRPr="000C557F">
        <w:rPr>
          <w:b/>
          <w:color w:val="000000"/>
          <w:u w:val="single"/>
        </w:rPr>
        <w:t>documentation</w:t>
      </w:r>
      <w:r w:rsidR="009946D2" w:rsidRPr="000C557F">
        <w:rPr>
          <w:b/>
          <w:color w:val="000000"/>
          <w:u w:val="single"/>
        </w:rPr>
        <w:t xml:space="preserve"> submitted after </w:t>
      </w:r>
      <w:r w:rsidR="004673E1" w:rsidRPr="000C557F">
        <w:rPr>
          <w:b/>
          <w:color w:val="000000"/>
          <w:u w:val="single"/>
        </w:rPr>
        <w:t>the deadline</w:t>
      </w:r>
      <w:r w:rsidR="009946D2" w:rsidRPr="000C557F">
        <w:rPr>
          <w:b/>
          <w:color w:val="000000"/>
          <w:u w:val="single"/>
        </w:rPr>
        <w:t xml:space="preserve"> </w:t>
      </w:r>
      <w:r w:rsidR="00A3322E" w:rsidRPr="000C557F">
        <w:rPr>
          <w:b/>
          <w:color w:val="000000"/>
          <w:u w:val="single"/>
        </w:rPr>
        <w:t>may result in the denial of the any proposed rent increase.</w:t>
      </w:r>
      <w:r w:rsidR="009946D2">
        <w:rPr>
          <w:color w:val="000000"/>
        </w:rPr>
        <w:t xml:space="preserve">  </w:t>
      </w:r>
    </w:p>
    <w:p w:rsidR="0065782C" w:rsidRDefault="0065782C">
      <w:pPr>
        <w:pStyle w:val="BodyText"/>
      </w:pPr>
    </w:p>
    <w:p w:rsidR="0065782C" w:rsidRDefault="005A6134" w:rsidP="00C35E19">
      <w:pPr>
        <w:pStyle w:val="BodyText"/>
      </w:pPr>
      <w:r>
        <w:rPr>
          <w:color w:val="FF0000"/>
        </w:rPr>
        <w:t>Please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note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that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inaccurate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incomplete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forms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will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not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be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considered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received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will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be returned to the management company.</w:t>
      </w:r>
    </w:p>
    <w:p w:rsidR="0065782C" w:rsidRDefault="0065782C">
      <w:pPr>
        <w:pStyle w:val="BodyText"/>
      </w:pPr>
    </w:p>
    <w:p w:rsidR="0065782C" w:rsidRDefault="005A6134" w:rsidP="00C35E19">
      <w:pPr>
        <w:pStyle w:val="BodyText"/>
        <w:spacing w:before="1"/>
        <w:ind w:right="165"/>
      </w:pPr>
      <w:r>
        <w:t>All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Monitoring</w:t>
      </w:r>
      <w:r>
        <w:rPr>
          <w:spacing w:val="-4"/>
        </w:rPr>
        <w:t xml:space="preserve"> </w:t>
      </w:r>
      <w:r>
        <w:t>Department</w:t>
      </w:r>
      <w:r>
        <w:rPr>
          <w:spacing w:val="-5"/>
        </w:rPr>
        <w:t xml:space="preserve"> </w:t>
      </w:r>
      <w:r w:rsidR="005A2D37">
        <w:t>in one of the following ways</w:t>
      </w:r>
      <w:r>
        <w:rPr>
          <w:spacing w:val="-2"/>
        </w:rPr>
        <w:t>:</w:t>
      </w:r>
    </w:p>
    <w:p w:rsidR="0065782C" w:rsidRDefault="0065782C">
      <w:pPr>
        <w:pStyle w:val="BodyText"/>
        <w:spacing w:before="11"/>
        <w:rPr>
          <w:sz w:val="23"/>
        </w:rPr>
      </w:pPr>
    </w:p>
    <w:p w:rsidR="0065782C" w:rsidRPr="005A2D37" w:rsidRDefault="00756C45" w:rsidP="00C35E19">
      <w:pPr>
        <w:pStyle w:val="BodyText"/>
        <w:rPr>
          <w:spacing w:val="-2"/>
          <w:u w:val="single"/>
        </w:rPr>
      </w:pPr>
      <w:r w:rsidRPr="00756C45">
        <w:rPr>
          <w:b/>
        </w:rPr>
        <w:t>Preferred Method:</w:t>
      </w:r>
      <w:r>
        <w:rPr>
          <w:u w:val="single"/>
        </w:rPr>
        <w:t xml:space="preserve"> </w:t>
      </w:r>
      <w:r w:rsidR="005A6134" w:rsidRPr="005A2D37">
        <w:rPr>
          <w:u w:val="single"/>
        </w:rPr>
        <w:t>Electronic</w:t>
      </w:r>
      <w:r w:rsidR="005A6134" w:rsidRPr="005A2D37">
        <w:rPr>
          <w:spacing w:val="-4"/>
          <w:u w:val="single"/>
        </w:rPr>
        <w:t xml:space="preserve"> </w:t>
      </w:r>
      <w:r w:rsidR="005A6134" w:rsidRPr="005A2D37">
        <w:rPr>
          <w:spacing w:val="-2"/>
          <w:u w:val="single"/>
        </w:rPr>
        <w:t>Submission</w:t>
      </w:r>
      <w:r w:rsidR="005A2D37" w:rsidRPr="005A2D37">
        <w:rPr>
          <w:spacing w:val="-2"/>
          <w:u w:val="single"/>
        </w:rPr>
        <w:t xml:space="preserve"> by Certification Portal Upload</w:t>
      </w:r>
      <w:r w:rsidR="005A6134" w:rsidRPr="005A2D37">
        <w:rPr>
          <w:spacing w:val="-2"/>
          <w:u w:val="single"/>
        </w:rPr>
        <w:t>:</w:t>
      </w:r>
    </w:p>
    <w:p w:rsidR="005A2D37" w:rsidRPr="00122E85" w:rsidRDefault="005A2D37" w:rsidP="00C35E19">
      <w:pPr>
        <w:pStyle w:val="BodyText"/>
        <w:rPr>
          <w:spacing w:val="-2"/>
        </w:rPr>
      </w:pPr>
      <w:r>
        <w:rPr>
          <w:spacing w:val="-2"/>
        </w:rPr>
        <w:t xml:space="preserve">Scan all documents in one PDF file and upload </w:t>
      </w:r>
      <w:r w:rsidR="00122E85" w:rsidRPr="00122E85">
        <w:t xml:space="preserve">in the </w:t>
      </w:r>
      <w:r w:rsidR="00122E85" w:rsidRPr="00122E85">
        <w:rPr>
          <w:b/>
        </w:rPr>
        <w:t>Upload Files – Miscellaneous</w:t>
      </w:r>
      <w:r w:rsidR="00122E85" w:rsidRPr="00122E85">
        <w:t xml:space="preserve"> section of the Certification Portal</w:t>
      </w:r>
    </w:p>
    <w:p w:rsidR="005A2D37" w:rsidRDefault="005A2D37" w:rsidP="00C35E19">
      <w:pPr>
        <w:pStyle w:val="BodyText"/>
      </w:pPr>
    </w:p>
    <w:p w:rsidR="005A2D37" w:rsidRPr="00122E85" w:rsidRDefault="005A2D37" w:rsidP="005A2D37">
      <w:pPr>
        <w:pStyle w:val="BodyText"/>
        <w:rPr>
          <w:spacing w:val="-2"/>
          <w:u w:val="single"/>
        </w:rPr>
      </w:pPr>
      <w:r w:rsidRPr="00187EBB">
        <w:rPr>
          <w:u w:val="single"/>
        </w:rPr>
        <w:t>Electronic</w:t>
      </w:r>
      <w:r w:rsidRPr="00187EBB">
        <w:rPr>
          <w:spacing w:val="-4"/>
          <w:u w:val="single"/>
        </w:rPr>
        <w:t xml:space="preserve"> </w:t>
      </w:r>
      <w:r w:rsidRPr="00187EBB">
        <w:rPr>
          <w:spacing w:val="-2"/>
          <w:u w:val="single"/>
        </w:rPr>
        <w:t>Submission by Secure File Exchange</w:t>
      </w:r>
      <w:r w:rsidRPr="00187EBB">
        <w:rPr>
          <w:spacing w:val="-2"/>
        </w:rPr>
        <w:t xml:space="preserve"> </w:t>
      </w:r>
      <w:r w:rsidRPr="00187EBB">
        <w:rPr>
          <w:b/>
          <w:spacing w:val="-2"/>
        </w:rPr>
        <w:t>(ONLY if access to Certification Portal has not been set up by Compliance Monitoring)</w:t>
      </w:r>
      <w:r w:rsidRPr="00122E85">
        <w:rPr>
          <w:spacing w:val="-2"/>
          <w:u w:val="single"/>
        </w:rPr>
        <w:t>:</w:t>
      </w:r>
    </w:p>
    <w:p w:rsidR="0065782C" w:rsidRDefault="005A6134" w:rsidP="00C35E19">
      <w:pPr>
        <w:pStyle w:val="BodyText"/>
        <w:ind w:right="165"/>
      </w:pPr>
      <w:r>
        <w:t xml:space="preserve">Submit all documents in a ZIP file through our Secure File Exchange here: </w:t>
      </w:r>
      <w:hyperlink r:id="rId11">
        <w:r>
          <w:rPr>
            <w:b/>
            <w:color w:val="0000FF"/>
            <w:u w:val="single" w:color="0000FF"/>
          </w:rPr>
          <w:t>SC Housing</w:t>
        </w:r>
      </w:hyperlink>
      <w:r>
        <w:rPr>
          <w:b/>
          <w:color w:val="0000FF"/>
        </w:rPr>
        <w:t xml:space="preserve"> </w:t>
      </w:r>
      <w:hyperlink r:id="rId12">
        <w:r>
          <w:rPr>
            <w:b/>
            <w:color w:val="0000FF"/>
            <w:u w:val="single" w:color="0000FF"/>
          </w:rPr>
          <w:t>Secure</w:t>
        </w:r>
        <w:r>
          <w:rPr>
            <w:b/>
            <w:color w:val="0000FF"/>
            <w:spacing w:val="-4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File</w:t>
        </w:r>
        <w:r>
          <w:rPr>
            <w:b/>
            <w:color w:val="0000FF"/>
            <w:spacing w:val="-4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Exchange</w:t>
        </w:r>
        <w:r>
          <w:rPr>
            <w:b/>
            <w:color w:val="0000FF"/>
            <w:spacing w:val="-2"/>
          </w:rPr>
          <w:t xml:space="preserve"> </w:t>
        </w:r>
      </w:hyperlink>
      <w:r>
        <w:rPr>
          <w:b/>
          <w:color w:val="0000FF"/>
        </w:rPr>
        <w:t>.</w:t>
      </w:r>
      <w:r>
        <w:rPr>
          <w:b/>
          <w:color w:val="0000FF"/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already</w:t>
      </w:r>
      <w:r>
        <w:rPr>
          <w:spacing w:val="-5"/>
        </w:rPr>
        <w:t xml:space="preserve"> </w:t>
      </w:r>
      <w:r>
        <w:t>registered,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 xml:space="preserve">web </w:t>
      </w:r>
      <w:r>
        <w:lastRenderedPageBreak/>
        <w:t xml:space="preserve">page. There is a link with instructions for uploading files on the login page as well. The department to send the ZIP file to is </w:t>
      </w:r>
      <w:r>
        <w:rPr>
          <w:u w:val="single"/>
        </w:rPr>
        <w:t>Compliance Monitoring</w:t>
      </w:r>
      <w:r>
        <w:t>.</w:t>
      </w:r>
    </w:p>
    <w:p w:rsidR="0065782C" w:rsidRDefault="0065782C">
      <w:pPr>
        <w:pStyle w:val="BodyText"/>
        <w:rPr>
          <w:sz w:val="16"/>
        </w:rPr>
      </w:pPr>
    </w:p>
    <w:p w:rsidR="0065782C" w:rsidRDefault="005A6134" w:rsidP="00C35E19">
      <w:pPr>
        <w:pStyle w:val="Heading2"/>
        <w:ind w:left="0"/>
        <w:rPr>
          <w:color w:val="000000"/>
          <w:spacing w:val="-2"/>
          <w:shd w:val="clear" w:color="auto" w:fill="FFFF00"/>
        </w:rPr>
      </w:pPr>
      <w:r>
        <w:rPr>
          <w:color w:val="000000"/>
          <w:shd w:val="clear" w:color="auto" w:fill="FFFF00"/>
        </w:rPr>
        <w:t>Emailed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submissions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will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not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be</w:t>
      </w:r>
      <w:r>
        <w:rPr>
          <w:color w:val="000000"/>
          <w:spacing w:val="-2"/>
          <w:shd w:val="clear" w:color="auto" w:fill="FFFF00"/>
        </w:rPr>
        <w:t xml:space="preserve"> accepted.</w:t>
      </w:r>
    </w:p>
    <w:p w:rsidR="00A80EA4" w:rsidRDefault="00A80EA4">
      <w:pPr>
        <w:pStyle w:val="Heading2"/>
        <w:rPr>
          <w:color w:val="000000"/>
          <w:spacing w:val="-2"/>
          <w:shd w:val="clear" w:color="auto" w:fill="FFFF00"/>
        </w:rPr>
      </w:pPr>
    </w:p>
    <w:p w:rsidR="00A80EA4" w:rsidRDefault="00A80EA4" w:rsidP="00C35E19">
      <w:pPr>
        <w:rPr>
          <w:b/>
          <w:sz w:val="24"/>
        </w:rPr>
      </w:pPr>
      <w:r>
        <w:rPr>
          <w:sz w:val="24"/>
        </w:rPr>
        <w:t xml:space="preserve">Any questions can be sent to: </w:t>
      </w:r>
      <w:r>
        <w:rPr>
          <w:b/>
          <w:color w:val="0000FF"/>
          <w:spacing w:val="-2"/>
          <w:sz w:val="24"/>
          <w:u w:val="single" w:color="0000FF"/>
        </w:rPr>
        <w:t>ComplianceDepartment@schousing.com</w:t>
      </w:r>
    </w:p>
    <w:p w:rsidR="005A2D37" w:rsidRDefault="005A2D37" w:rsidP="00C35E19">
      <w:pPr>
        <w:pStyle w:val="Heading1"/>
        <w:ind w:left="0"/>
        <w:rPr>
          <w:color w:val="548DD4"/>
        </w:rPr>
      </w:pPr>
    </w:p>
    <w:p w:rsidR="007E5A13" w:rsidRDefault="007E5A13" w:rsidP="007E5A13">
      <w:pPr>
        <w:pStyle w:val="Heading1"/>
        <w:ind w:left="0"/>
        <w:rPr>
          <w:color w:val="548DD4"/>
        </w:rPr>
      </w:pPr>
      <w:r>
        <w:rPr>
          <w:color w:val="548DD4"/>
        </w:rPr>
        <w:t>Application of Rent Limits</w:t>
      </w:r>
      <w:r>
        <w:rPr>
          <w:color w:val="548DD4"/>
          <w:spacing w:val="-2"/>
        </w:rPr>
        <w:t xml:space="preserve"> - </w:t>
      </w:r>
      <w:r>
        <w:rPr>
          <w:color w:val="548DD4"/>
        </w:rPr>
        <w:t>NEW FOR 2025 – 2025 HOME Final Rule Changes</w:t>
      </w:r>
    </w:p>
    <w:p w:rsidR="007E5A13" w:rsidRDefault="007E5A13" w:rsidP="007E5A13">
      <w:pPr>
        <w:widowControl/>
        <w:autoSpaceDE/>
        <w:autoSpaceDN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Per the 2025 HOME Final Rule </w:t>
      </w:r>
      <w:r w:rsidRPr="00D628C5">
        <w:rPr>
          <w:rFonts w:eastAsia="Times New Roman"/>
          <w:sz w:val="24"/>
          <w:szCs w:val="24"/>
        </w:rPr>
        <w:t>§ 92.252(</w:t>
      </w:r>
      <w:r>
        <w:rPr>
          <w:rFonts w:eastAsia="Times New Roman"/>
          <w:sz w:val="24"/>
          <w:szCs w:val="24"/>
        </w:rPr>
        <w:t>a</w:t>
      </w:r>
      <w:r w:rsidRPr="00D628C5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, there is a change from previous methodology for apply</w:t>
      </w:r>
      <w:r w:rsidR="00187EBB">
        <w:rPr>
          <w:rFonts w:eastAsia="Times New Roman"/>
          <w:sz w:val="24"/>
          <w:szCs w:val="24"/>
        </w:rPr>
        <w:t>ing</w:t>
      </w:r>
      <w:r>
        <w:rPr>
          <w:rFonts w:eastAsia="Times New Roman"/>
          <w:sz w:val="24"/>
          <w:szCs w:val="24"/>
        </w:rPr>
        <w:t xml:space="preserve"> HOME rent limits that now states that the rent limits do not apply to any rental assistance or subsidy payment provided under a Federal, State, or local rental assistance or subsidy program. </w:t>
      </w:r>
      <w:r w:rsidR="00B579AD">
        <w:rPr>
          <w:rFonts w:eastAsia="Times New Roman"/>
          <w:sz w:val="24"/>
          <w:szCs w:val="24"/>
        </w:rPr>
        <w:t>Also</w:t>
      </w:r>
      <w:r>
        <w:rPr>
          <w:rFonts w:eastAsia="Times New Roman"/>
          <w:sz w:val="24"/>
          <w:szCs w:val="24"/>
        </w:rPr>
        <w:t xml:space="preserve">, the 2025 HOME Final Rule </w:t>
      </w:r>
      <w:r w:rsidRPr="00D628C5">
        <w:rPr>
          <w:rFonts w:eastAsia="Times New Roman"/>
          <w:sz w:val="24"/>
          <w:szCs w:val="24"/>
        </w:rPr>
        <w:t>§ 92.252(</w:t>
      </w:r>
      <w:r>
        <w:rPr>
          <w:rFonts w:eastAsia="Times New Roman"/>
          <w:sz w:val="24"/>
          <w:szCs w:val="24"/>
        </w:rPr>
        <w:t>c</w:t>
      </w:r>
      <w:r w:rsidRPr="00D628C5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states that </w:t>
      </w:r>
      <w:r w:rsidRPr="00E019C1">
        <w:rPr>
          <w:rFonts w:eastAsia="Times New Roman"/>
          <w:sz w:val="24"/>
          <w:szCs w:val="24"/>
        </w:rPr>
        <w:t xml:space="preserve">all </w:t>
      </w:r>
      <w:r w:rsidRPr="00E019C1">
        <w:rPr>
          <w:sz w:val="24"/>
          <w:szCs w:val="24"/>
        </w:rPr>
        <w:t xml:space="preserve">units subject to the rent limits in </w:t>
      </w:r>
      <w:r w:rsidRPr="00D628C5">
        <w:rPr>
          <w:rFonts w:eastAsia="Times New Roman"/>
          <w:sz w:val="24"/>
          <w:szCs w:val="24"/>
        </w:rPr>
        <w:t>§</w:t>
      </w:r>
      <w:r>
        <w:rPr>
          <w:sz w:val="24"/>
          <w:szCs w:val="24"/>
        </w:rPr>
        <w:t>92.252</w:t>
      </w:r>
      <w:r w:rsidRPr="00E019C1">
        <w:rPr>
          <w:sz w:val="24"/>
          <w:szCs w:val="24"/>
        </w:rPr>
        <w:t xml:space="preserve">(a) for which the tenant is paying utilities and services, the participating jurisdiction must require that the rents do not exceed the rent limits in </w:t>
      </w:r>
      <w:r w:rsidRPr="00D628C5">
        <w:rPr>
          <w:rFonts w:eastAsia="Times New Roman"/>
          <w:sz w:val="24"/>
          <w:szCs w:val="24"/>
        </w:rPr>
        <w:t>§</w:t>
      </w:r>
      <w:r w:rsidR="00B579AD"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92.252</w:t>
      </w:r>
      <w:r w:rsidRPr="00E019C1">
        <w:rPr>
          <w:sz w:val="24"/>
          <w:szCs w:val="24"/>
        </w:rPr>
        <w:t xml:space="preserve">(a) minus the monthly allowances for utilities and services in </w:t>
      </w:r>
      <w:r w:rsidRPr="00D628C5">
        <w:rPr>
          <w:rFonts w:eastAsia="Times New Roman"/>
          <w:sz w:val="24"/>
          <w:szCs w:val="24"/>
        </w:rPr>
        <w:t>§ 92.252(b)</w:t>
      </w:r>
      <w:r w:rsidRPr="00E019C1">
        <w:rPr>
          <w:sz w:val="24"/>
          <w:szCs w:val="24"/>
        </w:rPr>
        <w:t>.</w:t>
      </w:r>
      <w:r>
        <w:rPr>
          <w:sz w:val="24"/>
          <w:szCs w:val="24"/>
        </w:rPr>
        <w:t xml:space="preserve"> Based on these paragraphs, gross rent calculations for HOME-assisted units will no longer include </w:t>
      </w:r>
      <w:r>
        <w:rPr>
          <w:rFonts w:eastAsia="Times New Roman"/>
          <w:sz w:val="24"/>
          <w:szCs w:val="24"/>
        </w:rPr>
        <w:t>Federal, State, or local rental assistance or subsidy amounts as part of the gross rent calculations.</w:t>
      </w:r>
    </w:p>
    <w:p w:rsidR="007E5A13" w:rsidRPr="00E019C1" w:rsidRDefault="007E5A13" w:rsidP="007E5A13">
      <w:pPr>
        <w:widowControl/>
        <w:autoSpaceDE/>
        <w:autoSpaceDN/>
        <w:rPr>
          <w:rFonts w:eastAsia="Times New Roman"/>
          <w:sz w:val="24"/>
          <w:szCs w:val="24"/>
        </w:rPr>
      </w:pPr>
    </w:p>
    <w:p w:rsidR="005A2D37" w:rsidRDefault="00A80EA4" w:rsidP="005A2D37">
      <w:pPr>
        <w:pStyle w:val="Heading1"/>
        <w:ind w:left="0"/>
        <w:rPr>
          <w:color w:val="548DD4"/>
        </w:rPr>
      </w:pPr>
      <w:r>
        <w:rPr>
          <w:color w:val="548DD4"/>
        </w:rPr>
        <w:t>Utility</w:t>
      </w:r>
      <w:r>
        <w:rPr>
          <w:color w:val="548DD4"/>
          <w:spacing w:val="-1"/>
        </w:rPr>
        <w:t xml:space="preserve"> </w:t>
      </w:r>
      <w:r>
        <w:rPr>
          <w:color w:val="548DD4"/>
          <w:spacing w:val="-2"/>
        </w:rPr>
        <w:t>Allowances</w:t>
      </w:r>
      <w:r w:rsidR="005A2D37">
        <w:rPr>
          <w:color w:val="548DD4"/>
          <w:spacing w:val="-2"/>
        </w:rPr>
        <w:t xml:space="preserve"> - </w:t>
      </w:r>
      <w:r w:rsidR="005A2D37">
        <w:rPr>
          <w:color w:val="548DD4"/>
        </w:rPr>
        <w:t xml:space="preserve">NEW FOR 2025 – </w:t>
      </w:r>
      <w:r w:rsidR="00D628C5">
        <w:rPr>
          <w:color w:val="548DD4"/>
        </w:rPr>
        <w:t>2025 HOME Final Rule Changes</w:t>
      </w:r>
    </w:p>
    <w:p w:rsidR="00D628C5" w:rsidRDefault="00B514E5" w:rsidP="00D628C5">
      <w:pPr>
        <w:widowControl/>
        <w:autoSpaceDE/>
        <w:autoSpaceDN/>
        <w:rPr>
          <w:rFonts w:ascii="Calibri" w:eastAsia="Times New Roman" w:hAnsi="Calibri" w:cs="Calibri"/>
        </w:rPr>
      </w:pPr>
      <w:r>
        <w:rPr>
          <w:rFonts w:eastAsia="Times New Roman"/>
          <w:sz w:val="24"/>
          <w:szCs w:val="24"/>
        </w:rPr>
        <w:t>Per the</w:t>
      </w:r>
      <w:r w:rsidR="004E5A27">
        <w:rPr>
          <w:rFonts w:eastAsia="Times New Roman"/>
          <w:sz w:val="24"/>
          <w:szCs w:val="24"/>
        </w:rPr>
        <w:t xml:space="preserve"> 2025</w:t>
      </w:r>
      <w:r w:rsidR="00AD0A0B">
        <w:rPr>
          <w:rFonts w:eastAsia="Times New Roman"/>
          <w:sz w:val="24"/>
          <w:szCs w:val="24"/>
        </w:rPr>
        <w:t xml:space="preserve"> HOME Final Rule </w:t>
      </w:r>
      <w:r w:rsidR="00D628C5" w:rsidRPr="00D628C5">
        <w:rPr>
          <w:rFonts w:eastAsia="Times New Roman"/>
          <w:sz w:val="24"/>
          <w:szCs w:val="24"/>
        </w:rPr>
        <w:t>§ 92.252(b)</w:t>
      </w:r>
      <w:r>
        <w:rPr>
          <w:rFonts w:eastAsia="Times New Roman"/>
          <w:sz w:val="24"/>
          <w:szCs w:val="24"/>
        </w:rPr>
        <w:t>,</w:t>
      </w:r>
      <w:r w:rsidR="002F67D3">
        <w:rPr>
          <w:rFonts w:eastAsia="Times New Roman"/>
          <w:sz w:val="24"/>
          <w:szCs w:val="24"/>
        </w:rPr>
        <w:t xml:space="preserve"> there is a change from the 2013 HOME Final Rule that now allows p</w:t>
      </w:r>
      <w:r w:rsidR="00D628C5" w:rsidRPr="00D628C5">
        <w:rPr>
          <w:rFonts w:eastAsia="Times New Roman"/>
          <w:sz w:val="24"/>
          <w:szCs w:val="24"/>
        </w:rPr>
        <w:t xml:space="preserve">articipating jurisdictions to use the HUD Utility Schedule Model, </w:t>
      </w:r>
      <w:r w:rsidR="00D628C5" w:rsidRPr="002F67D3">
        <w:rPr>
          <w:rFonts w:eastAsia="Times New Roman"/>
          <w:sz w:val="24"/>
          <w:szCs w:val="24"/>
          <w:highlight w:val="yellow"/>
        </w:rPr>
        <w:t>the utility allowance established by the applicable local PHA</w:t>
      </w:r>
      <w:r w:rsidR="00D628C5" w:rsidRPr="00D628C5">
        <w:rPr>
          <w:rFonts w:eastAsia="Times New Roman"/>
          <w:sz w:val="24"/>
          <w:szCs w:val="24"/>
        </w:rPr>
        <w:t xml:space="preserve">, or other method approved by HUD for its maximum monthly utility allowances. </w:t>
      </w:r>
      <w:r w:rsidR="00D628C5" w:rsidRPr="002F67D3">
        <w:rPr>
          <w:rFonts w:eastAsia="Times New Roman"/>
          <w:b/>
          <w:sz w:val="24"/>
          <w:szCs w:val="24"/>
        </w:rPr>
        <w:t xml:space="preserve">This change will make all three options available for </w:t>
      </w:r>
      <w:r w:rsidR="00D628C5" w:rsidRPr="002F67D3">
        <w:rPr>
          <w:rFonts w:eastAsia="Times New Roman"/>
          <w:b/>
          <w:sz w:val="24"/>
          <w:szCs w:val="24"/>
          <w:u w:val="single"/>
        </w:rPr>
        <w:t>all</w:t>
      </w:r>
      <w:r w:rsidR="00D628C5" w:rsidRPr="002F67D3">
        <w:rPr>
          <w:rFonts w:eastAsia="Times New Roman"/>
          <w:b/>
          <w:sz w:val="24"/>
          <w:szCs w:val="24"/>
        </w:rPr>
        <w:t xml:space="preserve"> HOME-assisted rental units</w:t>
      </w:r>
      <w:r w:rsidR="002F67D3">
        <w:rPr>
          <w:rFonts w:eastAsia="Times New Roman"/>
          <w:b/>
          <w:sz w:val="24"/>
          <w:szCs w:val="24"/>
        </w:rPr>
        <w:t xml:space="preserve">, </w:t>
      </w:r>
      <w:r w:rsidR="002F67D3" w:rsidRPr="002F67D3">
        <w:rPr>
          <w:rFonts w:eastAsia="Times New Roman"/>
          <w:b/>
          <w:sz w:val="24"/>
          <w:szCs w:val="24"/>
        </w:rPr>
        <w:t xml:space="preserve">including those for which HOME </w:t>
      </w:r>
      <w:r w:rsidR="002F67D3" w:rsidRPr="002F67D3">
        <w:rPr>
          <w:b/>
          <w:sz w:val="24"/>
          <w:szCs w:val="24"/>
        </w:rPr>
        <w:t>funds were committed on or after August 23, 2013</w:t>
      </w:r>
      <w:r w:rsidR="00D628C5" w:rsidRPr="002F67D3">
        <w:rPr>
          <w:rFonts w:eastAsia="Times New Roman"/>
          <w:sz w:val="24"/>
          <w:szCs w:val="24"/>
        </w:rPr>
        <w:t xml:space="preserve">. </w:t>
      </w:r>
      <w:r w:rsidR="00AD0A0B">
        <w:rPr>
          <w:rFonts w:eastAsia="Times New Roman"/>
          <w:sz w:val="24"/>
          <w:szCs w:val="24"/>
        </w:rPr>
        <w:t>I</w:t>
      </w:r>
      <w:r w:rsidR="00D628C5" w:rsidRPr="00D628C5">
        <w:rPr>
          <w:rFonts w:eastAsia="Times New Roman"/>
          <w:sz w:val="24"/>
          <w:szCs w:val="24"/>
        </w:rPr>
        <w:t>f a participating jurisdiction finds the utility allowance determined by its local PHA unsuitable, it is now able to choose a more suitable model (the HUD Utility Schedule Model or another method approved by HUD) for its project.</w:t>
      </w:r>
    </w:p>
    <w:p w:rsidR="00F24A7A" w:rsidRDefault="00F24A7A" w:rsidP="00F24A7A">
      <w:pPr>
        <w:widowControl/>
        <w:autoSpaceDE/>
        <w:autoSpaceDN/>
        <w:rPr>
          <w:rFonts w:eastAsia="Times New Roman"/>
          <w:sz w:val="24"/>
          <w:szCs w:val="24"/>
        </w:rPr>
      </w:pPr>
    </w:p>
    <w:p w:rsidR="00C35E19" w:rsidRDefault="00EE60FE" w:rsidP="00C35E19">
      <w:pPr>
        <w:pStyle w:val="Heading1"/>
        <w:ind w:left="0"/>
      </w:pPr>
      <w:r>
        <w:rPr>
          <w:color w:val="548DD4"/>
        </w:rPr>
        <w:t xml:space="preserve">Green Discount </w:t>
      </w:r>
      <w:r w:rsidR="00C35E19">
        <w:rPr>
          <w:color w:val="548DD4"/>
        </w:rPr>
        <w:t>Utility</w:t>
      </w:r>
      <w:r w:rsidR="00C35E19">
        <w:rPr>
          <w:color w:val="548DD4"/>
          <w:spacing w:val="-1"/>
        </w:rPr>
        <w:t xml:space="preserve"> </w:t>
      </w:r>
      <w:r>
        <w:rPr>
          <w:color w:val="548DD4"/>
          <w:spacing w:val="-2"/>
        </w:rPr>
        <w:t>Schedule</w:t>
      </w:r>
    </w:p>
    <w:p w:rsidR="0065782C" w:rsidRDefault="00C35E19" w:rsidP="00EE60FE">
      <w:pPr>
        <w:widowControl/>
        <w:autoSpaceDE/>
        <w:autoSpaceDN/>
        <w:spacing w:before="40"/>
        <w:contextualSpacing/>
        <w:rPr>
          <w:b/>
        </w:rPr>
      </w:pPr>
      <w:r w:rsidRPr="00EE60FE">
        <w:rPr>
          <w:sz w:val="24"/>
          <w:szCs w:val="24"/>
        </w:rPr>
        <w:t xml:space="preserve">If using </w:t>
      </w:r>
      <w:r w:rsidR="00EE60FE">
        <w:rPr>
          <w:sz w:val="24"/>
          <w:szCs w:val="24"/>
        </w:rPr>
        <w:t xml:space="preserve">the </w:t>
      </w:r>
      <w:r w:rsidRPr="00EE60FE">
        <w:rPr>
          <w:sz w:val="24"/>
          <w:szCs w:val="24"/>
        </w:rPr>
        <w:t xml:space="preserve">“Green Discount” </w:t>
      </w:r>
      <w:r w:rsidR="00EE60FE">
        <w:rPr>
          <w:sz w:val="24"/>
          <w:szCs w:val="24"/>
        </w:rPr>
        <w:t xml:space="preserve">or Energy Star </w:t>
      </w:r>
      <w:r w:rsidRPr="00EE60FE">
        <w:rPr>
          <w:sz w:val="24"/>
          <w:szCs w:val="24"/>
        </w:rPr>
        <w:t>utility schedule, provide a copy of the documentation certification as performed by the appropriate third-party rater submitted with the Placed In Service application</w:t>
      </w:r>
      <w:r w:rsidR="00EE60FE">
        <w:rPr>
          <w:sz w:val="24"/>
          <w:szCs w:val="24"/>
        </w:rPr>
        <w:t xml:space="preserve"> if a copy was not submitted for </w:t>
      </w:r>
      <w:r w:rsidR="00486DE2">
        <w:rPr>
          <w:sz w:val="24"/>
          <w:szCs w:val="24"/>
        </w:rPr>
        <w:t>a previous year’s</w:t>
      </w:r>
      <w:r w:rsidR="00EE60FE">
        <w:rPr>
          <w:sz w:val="24"/>
          <w:szCs w:val="24"/>
        </w:rPr>
        <w:t xml:space="preserve"> Rent Approval Request. If no documentation is available, the </w:t>
      </w:r>
      <w:r w:rsidR="00EE60FE" w:rsidRPr="00EE60FE">
        <w:rPr>
          <w:sz w:val="24"/>
          <w:szCs w:val="24"/>
        </w:rPr>
        <w:t xml:space="preserve">“Green Discount” </w:t>
      </w:r>
      <w:r w:rsidR="00EE60FE">
        <w:rPr>
          <w:sz w:val="24"/>
          <w:szCs w:val="24"/>
        </w:rPr>
        <w:t xml:space="preserve">or Energy Star </w:t>
      </w:r>
      <w:r w:rsidR="00EE60FE" w:rsidRPr="00EE60FE">
        <w:rPr>
          <w:sz w:val="24"/>
          <w:szCs w:val="24"/>
        </w:rPr>
        <w:t>utility schedule</w:t>
      </w:r>
      <w:r w:rsidR="00EE60FE">
        <w:rPr>
          <w:sz w:val="24"/>
          <w:szCs w:val="24"/>
        </w:rPr>
        <w:t xml:space="preserve"> </w:t>
      </w:r>
      <w:r w:rsidR="00EE60FE" w:rsidRPr="0082270E">
        <w:rPr>
          <w:sz w:val="24"/>
          <w:szCs w:val="24"/>
          <w:u w:val="single"/>
        </w:rPr>
        <w:t>cannot be used</w:t>
      </w:r>
      <w:r w:rsidR="00EE60FE">
        <w:rPr>
          <w:sz w:val="24"/>
          <w:szCs w:val="24"/>
        </w:rPr>
        <w:t>.</w:t>
      </w:r>
    </w:p>
    <w:p w:rsidR="00A80EA4" w:rsidRDefault="00A80EA4">
      <w:pPr>
        <w:pStyle w:val="BodyText"/>
        <w:ind w:left="120"/>
      </w:pPr>
    </w:p>
    <w:p w:rsidR="00A80EA4" w:rsidRDefault="005A6134" w:rsidP="00756C45">
      <w:pPr>
        <w:pStyle w:val="BodyText"/>
        <w:rPr>
          <w:b/>
        </w:rPr>
      </w:pPr>
      <w:r>
        <w:t>To</w:t>
      </w:r>
      <w:r>
        <w:rPr>
          <w:spacing w:val="-4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HOME</w:t>
      </w:r>
      <w:r>
        <w:rPr>
          <w:spacing w:val="-3"/>
        </w:rPr>
        <w:t xml:space="preserve"> </w:t>
      </w:r>
      <w:r w:rsidR="00A80EA4">
        <w:rPr>
          <w:spacing w:val="-3"/>
        </w:rPr>
        <w:t xml:space="preserve">and/or HTF </w:t>
      </w:r>
      <w:r>
        <w:t>Rent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Income</w:t>
      </w:r>
      <w:r>
        <w:rPr>
          <w:spacing w:val="-2"/>
        </w:rPr>
        <w:t xml:space="preserve"> </w:t>
      </w:r>
      <w:r>
        <w:t>limits</w:t>
      </w:r>
      <w:r>
        <w:rPr>
          <w:spacing w:val="-3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published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HUD,</w:t>
      </w:r>
      <w:r>
        <w:rPr>
          <w:spacing w:val="-2"/>
        </w:rPr>
        <w:t xml:space="preserve"> </w:t>
      </w:r>
      <w:r>
        <w:t>click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 xml:space="preserve">the following link and then follow directions: </w:t>
      </w:r>
      <w:hyperlink r:id="rId13">
        <w:r>
          <w:rPr>
            <w:color w:val="0000FF"/>
            <w:u w:val="single" w:color="0000FF"/>
          </w:rPr>
          <w:t>https://www.hudexchange.info/mailinglist/</w:t>
        </w:r>
      </w:hyperlink>
      <w:r w:rsidR="00014CEF">
        <w:rPr>
          <w:color w:val="0000FF"/>
          <w:u w:val="single" w:color="0000FF"/>
        </w:rPr>
        <w:t>.</w:t>
      </w:r>
    </w:p>
    <w:sectPr w:rsidR="00A80EA4" w:rsidSect="00187EBB">
      <w:pgSz w:w="12240" w:h="15840"/>
      <w:pgMar w:top="994" w:right="965" w:bottom="720" w:left="9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A515C"/>
    <w:multiLevelType w:val="hybridMultilevel"/>
    <w:tmpl w:val="9C18C64A"/>
    <w:lvl w:ilvl="0" w:tplc="C1686390">
      <w:start w:val="1"/>
      <w:numFmt w:val="decimal"/>
      <w:lvlText w:val="%1."/>
      <w:lvlJc w:val="left"/>
      <w:pPr>
        <w:ind w:left="84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190ABD0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 w:tplc="EC72983A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3" w:tplc="6DE21544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  <w:lvl w:ilvl="4" w:tplc="4A7A8546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5" w:tplc="48CAEB0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5394BFF0"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ar-SA"/>
      </w:rPr>
    </w:lvl>
    <w:lvl w:ilvl="7" w:tplc="EA9C16F4"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ar-SA"/>
      </w:rPr>
    </w:lvl>
    <w:lvl w:ilvl="8" w:tplc="0B204BDE">
      <w:numFmt w:val="bullet"/>
      <w:lvlText w:val="•"/>
      <w:lvlJc w:val="left"/>
      <w:pPr>
        <w:ind w:left="842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1F471F7"/>
    <w:multiLevelType w:val="hybridMultilevel"/>
    <w:tmpl w:val="A332543E"/>
    <w:lvl w:ilvl="0" w:tplc="229E7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4BA7E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05EC8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234D73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832901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360FA4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1807CE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10C1DD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EFAD09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740E15A8"/>
    <w:multiLevelType w:val="hybridMultilevel"/>
    <w:tmpl w:val="E568524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7E6B3357"/>
    <w:multiLevelType w:val="hybridMultilevel"/>
    <w:tmpl w:val="9C18C64A"/>
    <w:lvl w:ilvl="0" w:tplc="C1686390">
      <w:start w:val="1"/>
      <w:numFmt w:val="decimal"/>
      <w:lvlText w:val="%1."/>
      <w:lvlJc w:val="left"/>
      <w:pPr>
        <w:ind w:left="84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190ABD0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 w:tplc="EC72983A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3" w:tplc="6DE21544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  <w:lvl w:ilvl="4" w:tplc="4A7A8546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5" w:tplc="48CAEB0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5394BFF0"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ar-SA"/>
      </w:rPr>
    </w:lvl>
    <w:lvl w:ilvl="7" w:tplc="EA9C16F4"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ar-SA"/>
      </w:rPr>
    </w:lvl>
    <w:lvl w:ilvl="8" w:tplc="0B204BDE">
      <w:numFmt w:val="bullet"/>
      <w:lvlText w:val="•"/>
      <w:lvlJc w:val="left"/>
      <w:pPr>
        <w:ind w:left="8424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2C"/>
    <w:rsid w:val="00014CEF"/>
    <w:rsid w:val="00031F8E"/>
    <w:rsid w:val="00040534"/>
    <w:rsid w:val="00052348"/>
    <w:rsid w:val="0005510C"/>
    <w:rsid w:val="000C557F"/>
    <w:rsid w:val="00122E85"/>
    <w:rsid w:val="00187EBB"/>
    <w:rsid w:val="001C5F12"/>
    <w:rsid w:val="001D3412"/>
    <w:rsid w:val="00207B46"/>
    <w:rsid w:val="0021450C"/>
    <w:rsid w:val="002C47FC"/>
    <w:rsid w:val="002F67D3"/>
    <w:rsid w:val="00414291"/>
    <w:rsid w:val="00427319"/>
    <w:rsid w:val="004673E1"/>
    <w:rsid w:val="00484270"/>
    <w:rsid w:val="00486DE2"/>
    <w:rsid w:val="004E5A27"/>
    <w:rsid w:val="00556AEE"/>
    <w:rsid w:val="005A2D37"/>
    <w:rsid w:val="005A6134"/>
    <w:rsid w:val="005C440C"/>
    <w:rsid w:val="005D13EE"/>
    <w:rsid w:val="006123DF"/>
    <w:rsid w:val="0065782C"/>
    <w:rsid w:val="006806A2"/>
    <w:rsid w:val="006E2EEE"/>
    <w:rsid w:val="00726186"/>
    <w:rsid w:val="007269D8"/>
    <w:rsid w:val="00756C45"/>
    <w:rsid w:val="007E5A13"/>
    <w:rsid w:val="007F0D41"/>
    <w:rsid w:val="0082270E"/>
    <w:rsid w:val="008B0F58"/>
    <w:rsid w:val="00910D4B"/>
    <w:rsid w:val="009733B9"/>
    <w:rsid w:val="009946D2"/>
    <w:rsid w:val="009D35FD"/>
    <w:rsid w:val="00A227C9"/>
    <w:rsid w:val="00A3322E"/>
    <w:rsid w:val="00A454CA"/>
    <w:rsid w:val="00A80EA4"/>
    <w:rsid w:val="00AC36C0"/>
    <w:rsid w:val="00AD0A0B"/>
    <w:rsid w:val="00B21523"/>
    <w:rsid w:val="00B514E5"/>
    <w:rsid w:val="00B579AD"/>
    <w:rsid w:val="00BF18FA"/>
    <w:rsid w:val="00C35E19"/>
    <w:rsid w:val="00C94753"/>
    <w:rsid w:val="00CF7EF2"/>
    <w:rsid w:val="00D11CF2"/>
    <w:rsid w:val="00D628C5"/>
    <w:rsid w:val="00DE51A8"/>
    <w:rsid w:val="00E019C1"/>
    <w:rsid w:val="00E64B37"/>
    <w:rsid w:val="00E82FFF"/>
    <w:rsid w:val="00E90D06"/>
    <w:rsid w:val="00EE60FE"/>
    <w:rsid w:val="00F24A7A"/>
    <w:rsid w:val="00F3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8B31C"/>
  <w15:docId w15:val="{E985325A-94A0-4FE3-B180-2AD70739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321" w:lineRule="exact"/>
      <w:ind w:left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273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3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1F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6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using.sc.gov/development/development-utility-allowances" TargetMode="External"/><Relationship Id="rId13" Type="http://schemas.openxmlformats.org/officeDocument/2006/relationships/hyperlink" Target="https://www.hudexchange.info/mailingli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using.sc.gov/development/income-rent-limits" TargetMode="External"/><Relationship Id="rId12" Type="http://schemas.openxmlformats.org/officeDocument/2006/relationships/hyperlink" Target="https://www.schousing.com/Home/Partner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using.sc.gov/sites/schousing/files/Documents/Development/Manuals%20and%20Forms/HOME_SCHTF_NHTF%20Rent%20Approval%20Worksheet%20Final%2004.23.2025.docx" TargetMode="External"/><Relationship Id="rId11" Type="http://schemas.openxmlformats.org/officeDocument/2006/relationships/hyperlink" Target="https://www.schousing.com/Home/PartnerLogin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schousing.sc.gov/sites/schousing/files/Documents/Development/SRDP/SRDP-Manuals-Forms/SRDP-21-SRDP-Unit-Status-Compliance-Rpt-Rev-6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using.sc.gov/sites/schousing/files/Documents/Development/HOME/General-Forms/M-51_Unit_Status_Compliance.xls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SCSHAdmin</dc:creator>
  <cp:lastModifiedBy>Ott, Pamela 6-8726</cp:lastModifiedBy>
  <cp:revision>12</cp:revision>
  <cp:lastPrinted>2025-05-06T19:25:00Z</cp:lastPrinted>
  <dcterms:created xsi:type="dcterms:W3CDTF">2025-05-06T15:53:00Z</dcterms:created>
  <dcterms:modified xsi:type="dcterms:W3CDTF">2025-05-07T12:34:00Z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2022-05-25T00:00:00Z</vt:filetime>
  </property>
</Properties>
</file>